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2"/>
          <w:szCs w:val="22"/>
        </w:rPr>
        <w:t xml:space="preserve"> na  „</w:t>
      </w:r>
      <w:r>
        <w:rPr>
          <w:rFonts w:cs="Bookman Old Style" w:ascii="Bookman Old Style" w:hAnsi="Bookman Old Style"/>
          <w:b w:val="false"/>
          <w:bCs w:val="false"/>
          <w:color w:val="auto"/>
          <w:sz w:val="22"/>
          <w:szCs w:val="22"/>
          <w:lang w:val="pl-PL" w:eastAsia="zh-CN" w:bidi="ar-SA"/>
        </w:rPr>
        <w:t>Świadczenie usług konserwacyjnych i usuwaniu awarii branży ogólnobudowlanej</w:t>
      </w:r>
      <w:r>
        <w:rPr>
          <w:rFonts w:cs="Bookman Old Style" w:ascii="Bookman Old Style" w:hAnsi="Bookman Old Style"/>
          <w:b w:val="false"/>
          <w:bCs w:val="false"/>
          <w:color w:val="auto"/>
          <w:sz w:val="22"/>
          <w:szCs w:val="22"/>
        </w:rPr>
        <w:t xml:space="preserve"> w budynkach Wspólnot Mieszkaniowych zarządzanych przez „LOKUM” Sp. z o.o. w Bartoszycach”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1950401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08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194</Words>
  <Characters>1355</Characters>
  <CharactersWithSpaces>1564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2024-02-27T11:57:54Z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